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AntiqueOliT-Bold" w:hAnsi="AntiqueOliT-Bold" w:cs="AntiqueOliT-Bold"/>
          <w:b/>
          <w:bCs/>
          <w:sz w:val="28"/>
          <w:szCs w:val="28"/>
        </w:rPr>
      </w:pPr>
      <w:r>
        <w:rPr>
          <w:rFonts w:ascii="AntiqueOliT-Bold" w:hAnsi="AntiqueOliT-Bold" w:cs="AntiqueOliT-Bold"/>
          <w:b/>
          <w:bCs/>
          <w:sz w:val="28"/>
          <w:szCs w:val="28"/>
        </w:rPr>
        <w:t>Literary Theory—Ways of Interpreting a Work of Literature</w:t>
      </w: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AntiqueOliT-Bold" w:hAnsi="AntiqueOliT-Bold" w:cs="AntiqueOliT-Bold"/>
          <w:b/>
          <w:bCs/>
          <w:sz w:val="28"/>
          <w:szCs w:val="28"/>
        </w:rPr>
      </w:pPr>
    </w:p>
    <w:p w:rsidR="001058A2" w:rsidRDefault="00E36237" w:rsidP="001058A2">
      <w:pPr>
        <w:autoSpaceDE w:val="0"/>
        <w:autoSpaceDN w:val="0"/>
        <w:adjustRightInd w:val="0"/>
        <w:spacing w:after="0" w:line="240" w:lineRule="auto"/>
        <w:rPr>
          <w:rFonts w:ascii="AntiqueOliT-Bold" w:hAnsi="AntiqueOliT-Bold" w:cs="AntiqueOliT-Bold"/>
          <w:b/>
          <w:bCs/>
          <w:sz w:val="28"/>
          <w:szCs w:val="28"/>
        </w:rPr>
      </w:pPr>
      <w:r>
        <w:rPr>
          <w:rFonts w:ascii="AntiqueOliT-Bold" w:hAnsi="AntiqueOliT-Bold" w:cs="AntiqueOliT-Bold"/>
          <w:b/>
          <w:bCs/>
          <w:sz w:val="28"/>
          <w:szCs w:val="28"/>
        </w:rPr>
        <w:t xml:space="preserve">1.    </w:t>
      </w:r>
      <w:r w:rsidR="001058A2">
        <w:rPr>
          <w:rFonts w:ascii="AntiqueOliT-Bold" w:hAnsi="AntiqueOliT-Bold" w:cs="AntiqueOliT-Bold"/>
          <w:b/>
          <w:bCs/>
          <w:sz w:val="28"/>
          <w:szCs w:val="28"/>
        </w:rPr>
        <w:t>“Formal” Analysis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AntiqueOliT-Bold" w:hAnsi="AntiqueOliT-Bold" w:cs="AntiqueOliT-Bold"/>
          <w:b/>
          <w:bCs/>
          <w:sz w:val="28"/>
          <w:szCs w:val="28"/>
        </w:rPr>
      </w:pPr>
      <w:r w:rsidRPr="001058A2">
        <w:rPr>
          <w:rFonts w:ascii="AntiqueOliT-Bold" w:hAnsi="AntiqueOliT-Bold" w:cs="AntiqueOliT-Bold"/>
          <w:b/>
          <w:bCs/>
          <w:sz w:val="28"/>
          <w:szCs w:val="28"/>
        </w:rPr>
        <w:t>Three main areas of study: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1058A2">
        <w:rPr>
          <w:rFonts w:ascii="Berkeley-Bold" w:hAnsi="Berkeley-Bold" w:cs="Berkeley-Bold"/>
          <w:b/>
          <w:bCs/>
          <w:sz w:val="28"/>
          <w:szCs w:val="28"/>
        </w:rPr>
        <w:t>1. form and unity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1058A2">
        <w:rPr>
          <w:rFonts w:ascii="Berkeley-Bold" w:hAnsi="Berkeley-Bold" w:cs="Berkeley-Bold"/>
          <w:b/>
          <w:bCs/>
          <w:sz w:val="28"/>
          <w:szCs w:val="28"/>
        </w:rPr>
        <w:t>2. diction</w:t>
      </w:r>
    </w:p>
    <w:p w:rsidR="00B40B29" w:rsidRDefault="001058A2" w:rsidP="001058A2">
      <w:pPr>
        <w:rPr>
          <w:rFonts w:ascii="Berkeley-Bold" w:hAnsi="Berkeley-Bold" w:cs="Berkeley-Bold"/>
          <w:b/>
          <w:bCs/>
          <w:sz w:val="28"/>
          <w:szCs w:val="28"/>
        </w:rPr>
      </w:pPr>
      <w:r w:rsidRPr="001058A2">
        <w:rPr>
          <w:rFonts w:ascii="Berkeley-Bold" w:hAnsi="Berkeley-Bold" w:cs="Berkeley-Bold"/>
          <w:b/>
          <w:bCs/>
          <w:sz w:val="28"/>
          <w:szCs w:val="28"/>
        </w:rPr>
        <w:t>3. incongruities or inconsistencies</w:t>
      </w:r>
    </w:p>
    <w:p w:rsidR="001058A2" w:rsidRDefault="001058A2" w:rsidP="001058A2">
      <w:pPr>
        <w:rPr>
          <w:rFonts w:ascii="Berkeley-Bold" w:hAnsi="Berkeley-Bold" w:cs="Berkeley-Bold"/>
          <w:b/>
          <w:bCs/>
          <w:sz w:val="28"/>
          <w:szCs w:val="28"/>
        </w:rPr>
      </w:pP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 xml:space="preserve">Examining Cinderella from a perspective of “Form” 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  <w:r w:rsidRPr="001058A2">
        <w:rPr>
          <w:rFonts w:ascii="Berkeley-Bold" w:hAnsi="Berkeley-Bold" w:cs="Berkeley-Bold"/>
          <w:b/>
          <w:bCs/>
          <w:sz w:val="20"/>
          <w:szCs w:val="20"/>
        </w:rPr>
        <w:t xml:space="preserve">Look for symbolic, 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or some other, significance for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the specific items and animals chosen (for the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  <w:r w:rsidRPr="001058A2">
        <w:rPr>
          <w:rFonts w:ascii="Berkeley-Bold" w:hAnsi="Berkeley-Bold" w:cs="Berkeley-Bold"/>
          <w:b/>
          <w:bCs/>
          <w:sz w:val="20"/>
          <w:szCs w:val="20"/>
        </w:rPr>
        <w:t>coach and st</w:t>
      </w:r>
      <w:r>
        <w:rPr>
          <w:rFonts w:ascii="Berkeley-Bold" w:hAnsi="Berkeley-Bold" w:cs="Berkeley-Bold"/>
          <w:b/>
          <w:bCs/>
          <w:sz w:val="20"/>
          <w:szCs w:val="20"/>
        </w:rPr>
        <w:t>aff) and/or the numbers of each c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hosen.</w:t>
      </w: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  <w:r w:rsidRPr="001058A2">
        <w:rPr>
          <w:rFonts w:ascii="Berkeley-Bold" w:hAnsi="Berkeley-Bold" w:cs="Berkeley-Bold"/>
          <w:b/>
          <w:bCs/>
          <w:sz w:val="20"/>
          <w:szCs w:val="20"/>
        </w:rPr>
        <w:t>• Compare the sp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eech patterns of Cinderella and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the stepmo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ther and stepsisters. Are there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noticeable dif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ferences in cadence? Do any use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more (or less) figura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tive or poetic language than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the others? D</w:t>
      </w:r>
      <w:r>
        <w:rPr>
          <w:rFonts w:ascii="Berkeley-Bold" w:hAnsi="Berkeley-Bold" w:cs="Berkeley-Bold"/>
          <w:b/>
          <w:bCs/>
          <w:sz w:val="20"/>
          <w:szCs w:val="20"/>
        </w:rPr>
        <w:t xml:space="preserve">o any speak noticeably more (or </w:t>
      </w:r>
      <w:r w:rsidRPr="001058A2">
        <w:rPr>
          <w:rFonts w:ascii="Berkeley-Bold" w:hAnsi="Berkeley-Bold" w:cs="Berkeley-Bold"/>
          <w:b/>
          <w:bCs/>
          <w:sz w:val="20"/>
          <w:szCs w:val="20"/>
        </w:rPr>
        <w:t>less) than the others?</w:t>
      </w: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</w:p>
    <w:p w:rsidR="00E36237" w:rsidRDefault="00E36237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</w:p>
    <w:p w:rsidR="00E36237" w:rsidRDefault="00E36237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0"/>
          <w:szCs w:val="20"/>
        </w:rPr>
      </w:pPr>
    </w:p>
    <w:p w:rsidR="001058A2" w:rsidRPr="001058A2" w:rsidRDefault="00E36237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>
        <w:rPr>
          <w:rFonts w:ascii="Berkeley-Bold" w:hAnsi="Berkeley-Bold" w:cs="Berkeley-Bold"/>
          <w:b/>
          <w:bCs/>
          <w:sz w:val="28"/>
          <w:szCs w:val="28"/>
        </w:rPr>
        <w:t xml:space="preserve">2.    </w:t>
      </w:r>
      <w:r w:rsidR="001058A2" w:rsidRPr="001058A2">
        <w:rPr>
          <w:rFonts w:ascii="Berkeley-Bold" w:hAnsi="Berkeley-Bold" w:cs="Berkeley-Bold"/>
          <w:b/>
          <w:bCs/>
          <w:sz w:val="28"/>
          <w:szCs w:val="28"/>
        </w:rPr>
        <w:t>“Psycho-analytical” Analysis</w:t>
      </w:r>
      <w:r w:rsidR="00090C70">
        <w:rPr>
          <w:rFonts w:ascii="Berkeley-Bold" w:hAnsi="Berkeley-Bold" w:cs="Berkeley-Bold"/>
          <w:b/>
          <w:bCs/>
          <w:sz w:val="28"/>
          <w:szCs w:val="28"/>
        </w:rPr>
        <w:t xml:space="preserve"> (Freudian)</w:t>
      </w:r>
      <w:bookmarkStart w:id="0" w:name="_GoBack"/>
      <w:bookmarkEnd w:id="0"/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There are strong Oedipal connotations in Freudian theory: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Main areas of study/points of criticism of the first view are: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• the son’s desire for his mother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• the father’s envy of the son and rivalry for the mother’s attention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• the daughter’s desire for her father</w:t>
      </w:r>
    </w:p>
    <w:p w:rsidR="001058A2" w:rsidRP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>• the mother’s envy of the daughter and rivalry for the father’s attention.</w:t>
      </w: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058A2">
        <w:rPr>
          <w:rFonts w:ascii="Berkeley-Bold" w:hAnsi="Berkeley-Bold" w:cs="Berkeley-Bold"/>
          <w:b/>
          <w:bCs/>
          <w:sz w:val="24"/>
          <w:szCs w:val="24"/>
        </w:rPr>
        <w:t xml:space="preserve">     Of course, these all operate on a subconscious level</w:t>
      </w:r>
      <w:r w:rsidR="001D0C29"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058A2">
        <w:rPr>
          <w:rFonts w:ascii="Berkeley-Bold" w:hAnsi="Berkeley-Bold" w:cs="Berkeley-Bold"/>
          <w:b/>
          <w:bCs/>
          <w:sz w:val="24"/>
          <w:szCs w:val="24"/>
        </w:rPr>
        <w:t>to avoid violating serious social mores.</w:t>
      </w:r>
    </w:p>
    <w:p w:rsidR="001D0C29" w:rsidRDefault="001D0C29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36237" w:rsidRDefault="00E36237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1D0C29" w:rsidRPr="001D0C29" w:rsidRDefault="001D0C29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1D0C29">
        <w:rPr>
          <w:rFonts w:ascii="Berkeley-Bold" w:hAnsi="Berkeley-Bold" w:cs="Berkeley-Bold"/>
          <w:b/>
          <w:bCs/>
          <w:sz w:val="28"/>
          <w:szCs w:val="28"/>
        </w:rPr>
        <w:t>Examining Cinderella from a Freudian perspective:</w:t>
      </w:r>
    </w:p>
    <w:p w:rsidR="001D0C29" w:rsidRPr="001D0C29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• Consider Cinderella as a representative of the id</w:t>
      </w:r>
    </w:p>
    <w:p w:rsidR="001D0C29" w:rsidRPr="001D0C29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—expressing desire.</w:t>
      </w:r>
    </w:p>
    <w:p w:rsidR="001D0C29" w:rsidRPr="001D0C29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• Consider the stepmother and stepsisters as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representatives of the superego—preventing the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id from fulfilling its desire.</w:t>
      </w:r>
    </w:p>
    <w:p w:rsidR="001D0C29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• Consider the fairy godmother and the prince as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representatives of the ego—negotiating between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the id and the superego and allowing the desires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of the id to be fulfilled in a socially acceptable</w:t>
      </w:r>
      <w:r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manner.</w:t>
      </w:r>
    </w:p>
    <w:p w:rsidR="001D0C29" w:rsidRDefault="001D0C29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6498B" w:rsidRDefault="00E6498B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6498B" w:rsidRDefault="00E6498B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6498B" w:rsidRDefault="00E6498B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6498B" w:rsidRDefault="00E6498B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E6498B" w:rsidRPr="00E6498B" w:rsidRDefault="00E6498B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E36237" w:rsidRDefault="00E36237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</w:p>
    <w:p w:rsidR="00E6498B" w:rsidRPr="00E6498B" w:rsidRDefault="00E36237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32"/>
          <w:szCs w:val="32"/>
        </w:rPr>
      </w:pPr>
      <w:r>
        <w:rPr>
          <w:rFonts w:ascii="Berkeley-Bold" w:hAnsi="Berkeley-Bold" w:cs="Berkeley-Bold"/>
          <w:b/>
          <w:bCs/>
          <w:sz w:val="32"/>
          <w:szCs w:val="32"/>
        </w:rPr>
        <w:lastRenderedPageBreak/>
        <w:t xml:space="preserve">3.    </w:t>
      </w:r>
      <w:r w:rsidR="00E6498B" w:rsidRPr="00E6498B">
        <w:rPr>
          <w:rFonts w:ascii="Berkeley-Bold" w:hAnsi="Berkeley-Bold" w:cs="Berkeley-Bold"/>
          <w:b/>
          <w:bCs/>
          <w:sz w:val="32"/>
          <w:szCs w:val="32"/>
        </w:rPr>
        <w:t>Feminist Theory:</w:t>
      </w:r>
    </w:p>
    <w:p w:rsidR="00E6498B" w:rsidRPr="00E6498B" w:rsidRDefault="00E6498B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E6498B">
        <w:rPr>
          <w:rFonts w:ascii="Berkeley-Bold" w:hAnsi="Berkeley-Bold" w:cs="Berkeley-Bold"/>
          <w:b/>
          <w:bCs/>
          <w:sz w:val="28"/>
          <w:szCs w:val="28"/>
        </w:rPr>
        <w:t>1. differences between men and women</w:t>
      </w:r>
    </w:p>
    <w:p w:rsidR="00E6498B" w:rsidRPr="00E6498B" w:rsidRDefault="00E6498B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E6498B">
        <w:rPr>
          <w:rFonts w:ascii="Berkeley-Bold" w:hAnsi="Berkeley-Bold" w:cs="Berkeley-Bold"/>
          <w:b/>
          <w:bCs/>
          <w:sz w:val="28"/>
          <w:szCs w:val="28"/>
        </w:rPr>
        <w:t>2. women in positions of power and power dynamics</w:t>
      </w:r>
      <w:r w:rsidR="001D0C29">
        <w:rPr>
          <w:rFonts w:ascii="Berkeley-Bold" w:hAnsi="Berkeley-Bold" w:cs="Berkeley-Bold"/>
          <w:b/>
          <w:bCs/>
          <w:sz w:val="28"/>
          <w:szCs w:val="28"/>
        </w:rPr>
        <w:t xml:space="preserve"> </w:t>
      </w:r>
      <w:r w:rsidRPr="00E6498B">
        <w:rPr>
          <w:rFonts w:ascii="Berkeley-Bold" w:hAnsi="Berkeley-Bold" w:cs="Berkeley-Bold"/>
          <w:b/>
          <w:bCs/>
          <w:sz w:val="28"/>
          <w:szCs w:val="28"/>
        </w:rPr>
        <w:t>between men and women</w:t>
      </w:r>
    </w:p>
    <w:p w:rsidR="00E6498B" w:rsidRDefault="00E6498B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E6498B">
        <w:rPr>
          <w:rFonts w:ascii="Berkeley-Bold" w:hAnsi="Berkeley-Bold" w:cs="Berkeley-Bold"/>
          <w:b/>
          <w:bCs/>
          <w:sz w:val="28"/>
          <w:szCs w:val="28"/>
        </w:rPr>
        <w:t>3. the female experience</w:t>
      </w:r>
    </w:p>
    <w:p w:rsidR="00E36237" w:rsidRPr="00E6498B" w:rsidRDefault="00E36237" w:rsidP="00E6498B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</w:p>
    <w:p w:rsidR="001058A2" w:rsidRDefault="001058A2" w:rsidP="001058A2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</w:p>
    <w:p w:rsidR="001D0C29" w:rsidRPr="00E36237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8"/>
          <w:szCs w:val="28"/>
        </w:rPr>
      </w:pPr>
      <w:r w:rsidRPr="00E36237">
        <w:rPr>
          <w:rFonts w:ascii="Berkeley-Bold" w:hAnsi="Berkeley-Bold" w:cs="Berkeley-Bold"/>
          <w:b/>
          <w:bCs/>
          <w:sz w:val="28"/>
          <w:szCs w:val="28"/>
        </w:rPr>
        <w:t>Examining “Cinderella” from a Feminist</w:t>
      </w:r>
      <w:r w:rsidR="00E36237" w:rsidRPr="00E36237">
        <w:rPr>
          <w:rFonts w:ascii="Berkeley-Bold" w:hAnsi="Berkeley-Bold" w:cs="Berkeley-Bold"/>
          <w:b/>
          <w:bCs/>
          <w:sz w:val="28"/>
          <w:szCs w:val="28"/>
        </w:rPr>
        <w:t xml:space="preserve"> </w:t>
      </w:r>
      <w:r w:rsidRPr="00E36237">
        <w:rPr>
          <w:rFonts w:ascii="Berkeley-Bold" w:hAnsi="Berkeley-Bold" w:cs="Berkeley-Bold"/>
          <w:b/>
          <w:bCs/>
          <w:sz w:val="28"/>
          <w:szCs w:val="28"/>
        </w:rPr>
        <w:t>Perspective</w:t>
      </w:r>
    </w:p>
    <w:p w:rsidR="001D0C29" w:rsidRPr="001D0C29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• Consider the potentially misogynist theme of</w:t>
      </w:r>
      <w:r w:rsidR="00E36237"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abused-girl-waiting-to-be-rescued-by-prince.</w:t>
      </w:r>
    </w:p>
    <w:p w:rsidR="001058A2" w:rsidRPr="001058A2" w:rsidRDefault="001D0C29" w:rsidP="001D0C29">
      <w:pPr>
        <w:autoSpaceDE w:val="0"/>
        <w:autoSpaceDN w:val="0"/>
        <w:adjustRightInd w:val="0"/>
        <w:spacing w:after="0" w:line="240" w:lineRule="auto"/>
        <w:rPr>
          <w:rFonts w:ascii="Berkeley-Bold" w:hAnsi="Berkeley-Bold" w:cs="Berkeley-Bold"/>
          <w:b/>
          <w:bCs/>
          <w:sz w:val="24"/>
          <w:szCs w:val="24"/>
        </w:rPr>
      </w:pPr>
      <w:r w:rsidRPr="001D0C29">
        <w:rPr>
          <w:rFonts w:ascii="Berkeley-Bold" w:hAnsi="Berkeley-Bold" w:cs="Berkeley-Bold"/>
          <w:b/>
          <w:bCs/>
          <w:sz w:val="24"/>
          <w:szCs w:val="24"/>
        </w:rPr>
        <w:t>• Consider the values conveyed in the portrayal of</w:t>
      </w:r>
      <w:r w:rsidR="00E36237"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the “good girl” as physically beautiful and the</w:t>
      </w:r>
      <w:r w:rsidR="00E36237">
        <w:rPr>
          <w:rFonts w:ascii="Berkeley-Bold" w:hAnsi="Berkeley-Bold" w:cs="Berkeley-Bold"/>
          <w:b/>
          <w:bCs/>
          <w:sz w:val="24"/>
          <w:szCs w:val="24"/>
        </w:rPr>
        <w:t xml:space="preserve"> </w:t>
      </w:r>
      <w:r w:rsidRPr="001D0C29">
        <w:rPr>
          <w:rFonts w:ascii="Berkeley-Bold" w:hAnsi="Berkeley-Bold" w:cs="Berkeley-Bold"/>
          <w:b/>
          <w:bCs/>
          <w:sz w:val="24"/>
          <w:szCs w:val="24"/>
        </w:rPr>
        <w:t>“wicked girls” as physically ugly.</w:t>
      </w:r>
    </w:p>
    <w:sectPr w:rsidR="001058A2" w:rsidRPr="0010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Oli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2"/>
    <w:rsid w:val="00090C70"/>
    <w:rsid w:val="001058A2"/>
    <w:rsid w:val="001D0C29"/>
    <w:rsid w:val="00B40B29"/>
    <w:rsid w:val="00E36237"/>
    <w:rsid w:val="00E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69D7C-182C-4547-A338-43747DA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Toledo Christian Schools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Rabb</dc:creator>
  <cp:keywords/>
  <dc:description/>
  <cp:lastModifiedBy>Dennis Rabb</cp:lastModifiedBy>
  <cp:revision>5</cp:revision>
  <dcterms:created xsi:type="dcterms:W3CDTF">2015-02-13T16:06:00Z</dcterms:created>
  <dcterms:modified xsi:type="dcterms:W3CDTF">2015-10-28T11:44:00Z</dcterms:modified>
</cp:coreProperties>
</file>